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3C6E1" w14:textId="3C2D0B2D" w:rsidR="005925EE" w:rsidRDefault="00C078BD" w:rsidP="005925EE">
      <w:pPr>
        <w:jc w:val="center"/>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57728" behindDoc="0" locked="0" layoutInCell="1" allowOverlap="1" wp14:anchorId="0913C8B3" wp14:editId="5FD5335C">
                <wp:simplePos x="0" y="0"/>
                <wp:positionH relativeFrom="column">
                  <wp:posOffset>5285740</wp:posOffset>
                </wp:positionH>
                <wp:positionV relativeFrom="paragraph">
                  <wp:posOffset>-8890</wp:posOffset>
                </wp:positionV>
                <wp:extent cx="914400" cy="395605"/>
                <wp:effectExtent l="0" t="0" r="19050" b="234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14:paraId="435918B0" w14:textId="77777777" w:rsidR="00873295" w:rsidRPr="006A6CBE" w:rsidRDefault="00873295" w:rsidP="00873295">
                            <w:pPr>
                              <w:spacing w:line="500" w:lineRule="exact"/>
                              <w:ind w:left="280" w:hanging="280"/>
                              <w:jc w:val="center"/>
                              <w:rPr>
                                <w:rFonts w:hAnsi="ＭＳ 明朝"/>
                                <w:sz w:val="28"/>
                                <w:szCs w:val="28"/>
                              </w:rPr>
                            </w:pPr>
                            <w:r w:rsidRPr="006A6CBE">
                              <w:rPr>
                                <w:rFonts w:hAnsi="ＭＳ 明朝" w:hint="eastAsia"/>
                                <w:sz w:val="28"/>
                                <w:szCs w:val="28"/>
                              </w:rPr>
                              <w:t>資料</w:t>
                            </w:r>
                            <w:r>
                              <w:rPr>
                                <w:rFonts w:hAnsi="ＭＳ 明朝" w:hint="eastAsia"/>
                                <w:sz w:val="28"/>
                                <w:szCs w:val="28"/>
                              </w:rPr>
                              <w:t xml:space="preserve">４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3C8B3" id="_x0000_t202" coordsize="21600,21600" o:spt="202" path="m,l,21600r21600,l21600,xe">
                <v:stroke joinstyle="miter"/>
                <v:path gradientshapeok="t" o:connecttype="rect"/>
              </v:shapetype>
              <v:shape id="テキスト ボックス 2" o:spid="_x0000_s1026" type="#_x0000_t202" style="position:absolute;left:0;text-align:left;margin-left:416.2pt;margin-top:-.7pt;width:1in;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">
                <v:textbox>
                  <w:txbxContent>
                    <w:p w14:paraId="435918B0" w14:textId="77777777" w:rsidR="00873295" w:rsidRPr="006A6CBE" w:rsidRDefault="00873295" w:rsidP="00873295">
                      <w:pPr>
                        <w:spacing w:line="500" w:lineRule="exact"/>
                        <w:ind w:left="280" w:hanging="280"/>
                        <w:jc w:val="center"/>
                        <w:rPr>
                          <w:rFonts w:hAnsi="ＭＳ 明朝"/>
                          <w:sz w:val="28"/>
                          <w:szCs w:val="28"/>
                        </w:rPr>
                      </w:pPr>
                      <w:r w:rsidRPr="006A6CBE">
                        <w:rPr>
                          <w:rFonts w:hAnsi="ＭＳ 明朝" w:hint="eastAsia"/>
                          <w:sz w:val="28"/>
                          <w:szCs w:val="28"/>
                        </w:rPr>
                        <w:t>資料</w:t>
                      </w:r>
                      <w:r>
                        <w:rPr>
                          <w:rFonts w:hAnsi="ＭＳ 明朝" w:hint="eastAsia"/>
                          <w:sz w:val="28"/>
                          <w:szCs w:val="28"/>
                        </w:rPr>
                        <w:t xml:space="preserve">４　</w:t>
                      </w:r>
                    </w:p>
                  </w:txbxContent>
                </v:textbox>
              </v:shape>
            </w:pict>
          </mc:Fallback>
        </mc:AlternateContent>
      </w:r>
    </w:p>
    <w:p w14:paraId="2857AB74" w14:textId="0D2AC0A4" w:rsidR="005925EE" w:rsidRDefault="00AA25A7" w:rsidP="005925EE">
      <w:pPr>
        <w:jc w:val="center"/>
        <w:rPr>
          <w:rFonts w:ascii="ＭＳ 明朝" w:eastAsia="ＭＳ 明朝" w:hAnsi="ＭＳ 明朝"/>
          <w:sz w:val="16"/>
          <w:szCs w:val="16"/>
        </w:rPr>
      </w:pPr>
      <w:r>
        <w:rPr>
          <w:rFonts w:ascii="ＭＳ 明朝" w:eastAsia="ＭＳ 明朝" w:hAnsi="ＭＳ 明朝" w:hint="eastAsia"/>
          <w:sz w:val="28"/>
          <w:szCs w:val="28"/>
        </w:rPr>
        <w:t>法務支援業務委託</w:t>
      </w:r>
      <w:r w:rsidR="00C92860" w:rsidRPr="00030686">
        <w:rPr>
          <w:rFonts w:ascii="ＭＳ 明朝" w:eastAsia="ＭＳ 明朝" w:hAnsi="ＭＳ 明朝" w:hint="eastAsia"/>
          <w:sz w:val="28"/>
          <w:szCs w:val="28"/>
        </w:rPr>
        <w:t>の</w:t>
      </w:r>
      <w:r>
        <w:rPr>
          <w:rFonts w:ascii="ＭＳ 明朝" w:eastAsia="ＭＳ 明朝" w:hAnsi="ＭＳ 明朝" w:hint="eastAsia"/>
          <w:sz w:val="28"/>
          <w:szCs w:val="28"/>
        </w:rPr>
        <w:t>実施</w:t>
      </w:r>
      <w:r w:rsidR="00D90B0C" w:rsidRPr="00030686">
        <w:rPr>
          <w:rFonts w:ascii="ＭＳ 明朝" w:eastAsia="ＭＳ 明朝" w:hAnsi="ＭＳ 明朝" w:hint="eastAsia"/>
          <w:sz w:val="28"/>
          <w:szCs w:val="28"/>
        </w:rPr>
        <w:t>状況</w:t>
      </w:r>
      <w:r w:rsidR="00775CFE">
        <w:rPr>
          <w:rFonts w:ascii="ＭＳ 明朝" w:eastAsia="ＭＳ 明朝" w:hAnsi="ＭＳ 明朝" w:hint="eastAsia"/>
          <w:sz w:val="28"/>
          <w:szCs w:val="28"/>
        </w:rPr>
        <w:t>等</w:t>
      </w:r>
      <w:r>
        <w:rPr>
          <w:rFonts w:ascii="ＭＳ 明朝" w:eastAsia="ＭＳ 明朝" w:hAnsi="ＭＳ 明朝" w:hint="eastAsia"/>
          <w:sz w:val="28"/>
          <w:szCs w:val="28"/>
        </w:rPr>
        <w:t>について</w:t>
      </w:r>
    </w:p>
    <w:p w14:paraId="1F1602E9" w14:textId="77777777" w:rsidR="005925EE" w:rsidRDefault="005925EE" w:rsidP="005925EE">
      <w:pPr>
        <w:jc w:val="center"/>
        <w:rPr>
          <w:rFonts w:ascii="ＭＳ 明朝" w:eastAsia="ＭＳ 明朝" w:hAnsi="ＭＳ 明朝"/>
          <w:sz w:val="16"/>
          <w:szCs w:val="16"/>
        </w:rPr>
      </w:pPr>
    </w:p>
    <w:p w14:paraId="7C7151DE" w14:textId="77777777" w:rsidR="005925EE" w:rsidRDefault="005925EE" w:rsidP="007F615D">
      <w:pPr>
        <w:rPr>
          <w:rFonts w:ascii="ＭＳ 明朝" w:eastAsia="ＭＳ 明朝" w:hAnsi="ＭＳ 明朝"/>
          <w:sz w:val="16"/>
          <w:szCs w:val="16"/>
        </w:rPr>
      </w:pPr>
    </w:p>
    <w:p w14:paraId="4C30D2E7" w14:textId="77777777" w:rsidR="007F615D" w:rsidRPr="005925EE" w:rsidRDefault="007F615D" w:rsidP="007F615D">
      <w:pPr>
        <w:rPr>
          <w:rFonts w:ascii="ＭＳ 明朝" w:eastAsia="ＭＳ 明朝" w:hAnsi="ＭＳ 明朝"/>
          <w:sz w:val="16"/>
          <w:szCs w:val="16"/>
        </w:rPr>
      </w:pPr>
    </w:p>
    <w:p w14:paraId="7EF126A3" w14:textId="17802B12" w:rsidR="00A37D35" w:rsidRDefault="00A37D35" w:rsidP="00A37D35">
      <w:pPr>
        <w:autoSpaceDE w:val="0"/>
        <w:autoSpaceDN w:val="0"/>
        <w:spacing w:line="420" w:lineRule="exact"/>
        <w:rPr>
          <w:rFonts w:asciiTheme="minorEastAsia"/>
          <w:sz w:val="24"/>
          <w:szCs w:val="24"/>
        </w:rPr>
      </w:pPr>
      <w:r w:rsidRPr="00A37D35">
        <w:rPr>
          <w:rFonts w:asciiTheme="minorEastAsia" w:hint="eastAsia"/>
          <w:sz w:val="24"/>
          <w:szCs w:val="24"/>
        </w:rPr>
        <w:t>１　目的</w:t>
      </w:r>
    </w:p>
    <w:p w14:paraId="44C22E2F" w14:textId="48823517" w:rsidR="005B56A8" w:rsidRDefault="005B56A8" w:rsidP="005B56A8">
      <w:pPr>
        <w:autoSpaceDE w:val="0"/>
        <w:autoSpaceDN w:val="0"/>
        <w:spacing w:line="420" w:lineRule="exact"/>
        <w:ind w:leftChars="100" w:left="210" w:firstLineChars="100" w:firstLine="240"/>
        <w:rPr>
          <w:rFonts w:asciiTheme="minorEastAsia"/>
          <w:sz w:val="24"/>
          <w:szCs w:val="24"/>
        </w:rPr>
      </w:pPr>
      <w:r>
        <w:rPr>
          <w:rFonts w:asciiTheme="minorEastAsia" w:hint="eastAsia"/>
          <w:sz w:val="24"/>
          <w:szCs w:val="24"/>
        </w:rPr>
        <w:t>地域包括支援センターが高齢者の相談支援に当たり直面する課題は、年々多様化かつ複雑化し、法的な</w:t>
      </w:r>
      <w:r w:rsidR="007F615D">
        <w:rPr>
          <w:rFonts w:asciiTheme="minorEastAsia" w:hint="eastAsia"/>
          <w:sz w:val="24"/>
          <w:szCs w:val="24"/>
        </w:rPr>
        <w:t>知識</w:t>
      </w:r>
      <w:r>
        <w:rPr>
          <w:rFonts w:asciiTheme="minorEastAsia" w:hint="eastAsia"/>
          <w:sz w:val="24"/>
          <w:szCs w:val="24"/>
        </w:rPr>
        <w:t>を求められる案件</w:t>
      </w:r>
      <w:r w:rsidR="007F615D">
        <w:rPr>
          <w:rFonts w:asciiTheme="minorEastAsia" w:hint="eastAsia"/>
          <w:sz w:val="24"/>
          <w:szCs w:val="24"/>
        </w:rPr>
        <w:t>もよせられている</w:t>
      </w:r>
      <w:r>
        <w:rPr>
          <w:rFonts w:asciiTheme="minorEastAsia" w:hint="eastAsia"/>
          <w:sz w:val="24"/>
          <w:szCs w:val="24"/>
        </w:rPr>
        <w:t>。</w:t>
      </w:r>
    </w:p>
    <w:p w14:paraId="10D3077E" w14:textId="111A3773" w:rsidR="005B56A8" w:rsidRDefault="000803F0" w:rsidP="005B56A8">
      <w:pPr>
        <w:autoSpaceDE w:val="0"/>
        <w:autoSpaceDN w:val="0"/>
        <w:spacing w:line="420" w:lineRule="exact"/>
        <w:ind w:leftChars="100" w:left="210" w:firstLineChars="100" w:firstLine="240"/>
        <w:rPr>
          <w:rFonts w:asciiTheme="minorEastAsia"/>
          <w:sz w:val="24"/>
          <w:szCs w:val="24"/>
        </w:rPr>
      </w:pPr>
      <w:r>
        <w:rPr>
          <w:rFonts w:asciiTheme="minorEastAsia" w:hint="eastAsia"/>
          <w:sz w:val="24"/>
          <w:szCs w:val="24"/>
        </w:rPr>
        <w:t>そこで、</w:t>
      </w:r>
      <w:r w:rsidR="005B56A8">
        <w:rPr>
          <w:rFonts w:asciiTheme="minorEastAsia" w:hint="eastAsia"/>
          <w:sz w:val="24"/>
          <w:szCs w:val="24"/>
        </w:rPr>
        <w:t>日々様々な相談に向き合う地域包括支援センターの職員が、気軽に弁護士に相談できる環境を整えることで、ケースワーク力の向上や相談機能の強化を図り、ひいては高齢者福祉の向上を目的として、平成28年８月から法務支援を開始した。</w:t>
      </w:r>
    </w:p>
    <w:p w14:paraId="76195441" w14:textId="77777777" w:rsidR="005B56A8" w:rsidRDefault="005B56A8" w:rsidP="00A37D35">
      <w:pPr>
        <w:autoSpaceDE w:val="0"/>
        <w:autoSpaceDN w:val="0"/>
        <w:spacing w:line="420" w:lineRule="exact"/>
        <w:rPr>
          <w:rFonts w:asciiTheme="minorEastAsia"/>
          <w:sz w:val="24"/>
          <w:szCs w:val="24"/>
        </w:rPr>
      </w:pPr>
    </w:p>
    <w:p w14:paraId="124F6E61" w14:textId="77777777" w:rsidR="00244133" w:rsidRDefault="00244133" w:rsidP="00A37D35">
      <w:pPr>
        <w:autoSpaceDE w:val="0"/>
        <w:autoSpaceDN w:val="0"/>
        <w:spacing w:line="420" w:lineRule="exact"/>
        <w:rPr>
          <w:rFonts w:asciiTheme="minorEastAsia"/>
          <w:sz w:val="24"/>
          <w:szCs w:val="24"/>
        </w:rPr>
      </w:pPr>
    </w:p>
    <w:p w14:paraId="2B252CB5" w14:textId="77777777" w:rsidR="007F615D" w:rsidRPr="005B56A8" w:rsidRDefault="007F615D" w:rsidP="00A37D35">
      <w:pPr>
        <w:autoSpaceDE w:val="0"/>
        <w:autoSpaceDN w:val="0"/>
        <w:spacing w:line="420" w:lineRule="exact"/>
        <w:rPr>
          <w:rFonts w:asciiTheme="minorEastAsia"/>
          <w:sz w:val="24"/>
          <w:szCs w:val="24"/>
        </w:rPr>
      </w:pPr>
    </w:p>
    <w:p w14:paraId="73661625" w14:textId="77777777" w:rsidR="00A37D35" w:rsidRDefault="00A37D35" w:rsidP="00A37D35">
      <w:pPr>
        <w:autoSpaceDE w:val="0"/>
        <w:autoSpaceDN w:val="0"/>
        <w:spacing w:line="420" w:lineRule="exact"/>
        <w:rPr>
          <w:rFonts w:asciiTheme="minorEastAsia"/>
          <w:sz w:val="24"/>
          <w:szCs w:val="24"/>
        </w:rPr>
      </w:pPr>
      <w:r>
        <w:rPr>
          <w:rFonts w:asciiTheme="minorEastAsia" w:hint="eastAsia"/>
          <w:sz w:val="24"/>
          <w:szCs w:val="24"/>
        </w:rPr>
        <w:t xml:space="preserve">２　</w:t>
      </w:r>
      <w:r w:rsidR="003D4D93">
        <w:rPr>
          <w:rFonts w:asciiTheme="minorEastAsia" w:hint="eastAsia"/>
          <w:sz w:val="24"/>
          <w:szCs w:val="24"/>
        </w:rPr>
        <w:t>実施概要</w:t>
      </w:r>
    </w:p>
    <w:p w14:paraId="2E6C7D0F" w14:textId="77777777" w:rsidR="003D4D93" w:rsidRDefault="004F56FC" w:rsidP="00A37D35">
      <w:pPr>
        <w:autoSpaceDE w:val="0"/>
        <w:autoSpaceDN w:val="0"/>
        <w:spacing w:line="420" w:lineRule="exact"/>
        <w:rPr>
          <w:rFonts w:asciiTheme="minorEastAsia"/>
          <w:sz w:val="24"/>
          <w:szCs w:val="24"/>
        </w:rPr>
      </w:pPr>
      <w:r>
        <w:rPr>
          <w:rFonts w:asciiTheme="minorEastAsia" w:hint="eastAsia"/>
          <w:sz w:val="24"/>
          <w:szCs w:val="24"/>
        </w:rPr>
        <w:t xml:space="preserve">　　実施場所　：　地域包括支援センター</w:t>
      </w:r>
    </w:p>
    <w:p w14:paraId="1306666B" w14:textId="77777777" w:rsidR="003D4D93" w:rsidRDefault="003D4D93" w:rsidP="003D4D93">
      <w:pPr>
        <w:autoSpaceDE w:val="0"/>
        <w:autoSpaceDN w:val="0"/>
        <w:spacing w:line="420" w:lineRule="exact"/>
        <w:ind w:firstLineChars="200" w:firstLine="480"/>
        <w:rPr>
          <w:rFonts w:asciiTheme="minorEastAsia"/>
          <w:sz w:val="24"/>
          <w:szCs w:val="24"/>
        </w:rPr>
      </w:pPr>
      <w:r>
        <w:rPr>
          <w:rFonts w:asciiTheme="minorEastAsia" w:hint="eastAsia"/>
          <w:sz w:val="24"/>
          <w:szCs w:val="24"/>
        </w:rPr>
        <w:t>実施回数　：　月２回程度</w:t>
      </w:r>
    </w:p>
    <w:p w14:paraId="7793D2A9" w14:textId="688EBD5F" w:rsidR="003D4D93" w:rsidRDefault="004F56FC" w:rsidP="00A37D35">
      <w:pPr>
        <w:autoSpaceDE w:val="0"/>
        <w:autoSpaceDN w:val="0"/>
        <w:spacing w:line="420" w:lineRule="exact"/>
        <w:rPr>
          <w:rFonts w:asciiTheme="minorEastAsia"/>
          <w:sz w:val="24"/>
          <w:szCs w:val="24"/>
        </w:rPr>
      </w:pPr>
      <w:r>
        <w:rPr>
          <w:rFonts w:asciiTheme="minorEastAsia" w:hint="eastAsia"/>
          <w:sz w:val="24"/>
          <w:szCs w:val="24"/>
        </w:rPr>
        <w:t xml:space="preserve">　　相談時間　：　</w:t>
      </w:r>
      <w:r w:rsidR="005B56A8">
        <w:rPr>
          <w:rFonts w:asciiTheme="minorEastAsia" w:hint="eastAsia"/>
          <w:sz w:val="24"/>
          <w:szCs w:val="24"/>
        </w:rPr>
        <w:t>１回２時間以内（10時～12時）</w:t>
      </w:r>
    </w:p>
    <w:p w14:paraId="039A5DCC" w14:textId="1EFBECE5" w:rsidR="00A37D35" w:rsidRDefault="00EB1AE7" w:rsidP="00C374E8">
      <w:pPr>
        <w:autoSpaceDE w:val="0"/>
        <w:autoSpaceDN w:val="0"/>
        <w:spacing w:line="420" w:lineRule="exact"/>
        <w:ind w:left="2160" w:hangingChars="900" w:hanging="2160"/>
        <w:rPr>
          <w:rFonts w:asciiTheme="minorEastAsia"/>
          <w:sz w:val="24"/>
          <w:szCs w:val="24"/>
        </w:rPr>
      </w:pPr>
      <w:r>
        <w:rPr>
          <w:rFonts w:asciiTheme="minorEastAsia" w:hint="eastAsia"/>
          <w:sz w:val="24"/>
          <w:szCs w:val="24"/>
        </w:rPr>
        <w:t xml:space="preserve">　　相談方法　：</w:t>
      </w:r>
      <w:r w:rsidR="00C374E8">
        <w:rPr>
          <w:rFonts w:asciiTheme="minorEastAsia" w:hint="eastAsia"/>
          <w:sz w:val="24"/>
          <w:szCs w:val="24"/>
        </w:rPr>
        <w:t xml:space="preserve">　年間予定表に基づいて、弁護士が包括に出張して相談に応じる。他包括からの相談希望があれば可能な限り対応する。</w:t>
      </w:r>
    </w:p>
    <w:p w14:paraId="0C4A333E" w14:textId="77777777" w:rsidR="00244133" w:rsidRDefault="00244133" w:rsidP="00A37D35">
      <w:pPr>
        <w:autoSpaceDE w:val="0"/>
        <w:autoSpaceDN w:val="0"/>
        <w:spacing w:line="420" w:lineRule="exact"/>
        <w:rPr>
          <w:rFonts w:asciiTheme="minorEastAsia"/>
          <w:sz w:val="24"/>
          <w:szCs w:val="24"/>
        </w:rPr>
      </w:pPr>
    </w:p>
    <w:p w14:paraId="41BBE0A9" w14:textId="77777777" w:rsidR="009F1303" w:rsidRDefault="009F1303" w:rsidP="00A37D35">
      <w:pPr>
        <w:autoSpaceDE w:val="0"/>
        <w:autoSpaceDN w:val="0"/>
        <w:spacing w:line="420" w:lineRule="exact"/>
        <w:rPr>
          <w:rFonts w:asciiTheme="minorEastAsia"/>
          <w:sz w:val="24"/>
          <w:szCs w:val="24"/>
        </w:rPr>
      </w:pPr>
    </w:p>
    <w:p w14:paraId="15EFCA00" w14:textId="77777777" w:rsidR="007F615D" w:rsidRPr="004F56FC" w:rsidRDefault="007F615D" w:rsidP="00A37D35">
      <w:pPr>
        <w:autoSpaceDE w:val="0"/>
        <w:autoSpaceDN w:val="0"/>
        <w:spacing w:line="420" w:lineRule="exact"/>
        <w:rPr>
          <w:rFonts w:asciiTheme="minorEastAsia"/>
          <w:sz w:val="24"/>
          <w:szCs w:val="24"/>
        </w:rPr>
      </w:pPr>
    </w:p>
    <w:p w14:paraId="540CFC14" w14:textId="77777777" w:rsidR="00A37D35" w:rsidRDefault="00A37D35" w:rsidP="00A37D35">
      <w:pPr>
        <w:autoSpaceDE w:val="0"/>
        <w:autoSpaceDN w:val="0"/>
        <w:spacing w:line="420" w:lineRule="exact"/>
        <w:rPr>
          <w:rFonts w:asciiTheme="minorEastAsia"/>
          <w:sz w:val="24"/>
          <w:szCs w:val="24"/>
        </w:rPr>
      </w:pPr>
      <w:r>
        <w:rPr>
          <w:rFonts w:asciiTheme="minorEastAsia" w:hint="eastAsia"/>
          <w:sz w:val="24"/>
          <w:szCs w:val="24"/>
        </w:rPr>
        <w:t>３　委託</w:t>
      </w:r>
      <w:r w:rsidR="00EB1AE7">
        <w:rPr>
          <w:rFonts w:asciiTheme="minorEastAsia" w:hint="eastAsia"/>
          <w:sz w:val="24"/>
          <w:szCs w:val="24"/>
        </w:rPr>
        <w:t>形態</w:t>
      </w:r>
      <w:r>
        <w:rPr>
          <w:rFonts w:asciiTheme="minorEastAsia" w:hint="eastAsia"/>
          <w:sz w:val="24"/>
          <w:szCs w:val="24"/>
        </w:rPr>
        <w:t>について</w:t>
      </w:r>
    </w:p>
    <w:p w14:paraId="112F621C" w14:textId="3D1F9789" w:rsidR="00AA25A7" w:rsidRDefault="00A10802" w:rsidP="00A37D35">
      <w:pPr>
        <w:autoSpaceDE w:val="0"/>
        <w:autoSpaceDN w:val="0"/>
        <w:spacing w:line="420" w:lineRule="exact"/>
        <w:ind w:leftChars="100" w:left="210" w:firstLineChars="100" w:firstLine="240"/>
        <w:rPr>
          <w:rFonts w:asciiTheme="minorEastAsia"/>
          <w:sz w:val="24"/>
          <w:szCs w:val="24"/>
        </w:rPr>
      </w:pPr>
      <w:r>
        <w:rPr>
          <w:rFonts w:asciiTheme="minorEastAsia" w:hint="eastAsia"/>
          <w:sz w:val="24"/>
          <w:szCs w:val="24"/>
        </w:rPr>
        <w:t>東京</w:t>
      </w:r>
      <w:r w:rsidR="00AA25A7" w:rsidRPr="00A37D35">
        <w:rPr>
          <w:rFonts w:asciiTheme="minorEastAsia" w:hint="eastAsia"/>
          <w:sz w:val="24"/>
          <w:szCs w:val="24"/>
        </w:rPr>
        <w:t>三弁護士会（東京弁護士会、第一東京弁護士会及び第二東京弁護士会）と区との間で締結した大田区地域包括支援センター法務支援業務に関する協定に基づき</w:t>
      </w:r>
      <w:r w:rsidR="00A37D35">
        <w:rPr>
          <w:rFonts w:asciiTheme="minorEastAsia" w:hint="eastAsia"/>
          <w:sz w:val="24"/>
          <w:szCs w:val="24"/>
        </w:rPr>
        <w:t>、</w:t>
      </w:r>
      <w:r>
        <w:rPr>
          <w:rFonts w:asciiTheme="minorEastAsia" w:hint="eastAsia"/>
          <w:sz w:val="24"/>
          <w:szCs w:val="24"/>
        </w:rPr>
        <w:t>東京</w:t>
      </w:r>
      <w:r w:rsidR="00AA25A7" w:rsidRPr="00A37D35">
        <w:rPr>
          <w:rFonts w:asciiTheme="minorEastAsia" w:hint="eastAsia"/>
          <w:sz w:val="24"/>
          <w:szCs w:val="24"/>
        </w:rPr>
        <w:t>三弁護士会より派遣された弁護士に対し、法務支援業務を委託。</w:t>
      </w:r>
    </w:p>
    <w:p w14:paraId="61D393A7" w14:textId="77777777" w:rsidR="00A37D35" w:rsidRDefault="00A37D35" w:rsidP="00A37D35">
      <w:pPr>
        <w:autoSpaceDE w:val="0"/>
        <w:autoSpaceDN w:val="0"/>
        <w:spacing w:line="420" w:lineRule="exact"/>
        <w:rPr>
          <w:rFonts w:asciiTheme="minorEastAsia"/>
          <w:sz w:val="24"/>
          <w:szCs w:val="24"/>
        </w:rPr>
      </w:pPr>
    </w:p>
    <w:p w14:paraId="159C8740" w14:textId="77777777" w:rsidR="00244133" w:rsidRDefault="00244133" w:rsidP="00A37D35">
      <w:pPr>
        <w:autoSpaceDE w:val="0"/>
        <w:autoSpaceDN w:val="0"/>
        <w:spacing w:line="420" w:lineRule="exact"/>
        <w:rPr>
          <w:rFonts w:asciiTheme="minorEastAsia"/>
          <w:sz w:val="24"/>
          <w:szCs w:val="24"/>
        </w:rPr>
      </w:pPr>
    </w:p>
    <w:p w14:paraId="30FD5ECB" w14:textId="77777777" w:rsidR="00244133" w:rsidRDefault="00244133" w:rsidP="00A37D35">
      <w:pPr>
        <w:autoSpaceDE w:val="0"/>
        <w:autoSpaceDN w:val="0"/>
        <w:spacing w:line="420" w:lineRule="exact"/>
        <w:rPr>
          <w:rFonts w:asciiTheme="minorEastAsia"/>
          <w:sz w:val="24"/>
          <w:szCs w:val="24"/>
        </w:rPr>
      </w:pPr>
    </w:p>
    <w:p w14:paraId="032A6299" w14:textId="77777777" w:rsidR="00244133" w:rsidRDefault="00244133" w:rsidP="00A37D35">
      <w:pPr>
        <w:autoSpaceDE w:val="0"/>
        <w:autoSpaceDN w:val="0"/>
        <w:spacing w:line="420" w:lineRule="exact"/>
        <w:rPr>
          <w:rFonts w:asciiTheme="minorEastAsia"/>
          <w:sz w:val="24"/>
          <w:szCs w:val="24"/>
        </w:rPr>
      </w:pPr>
    </w:p>
    <w:p w14:paraId="0C153AB0" w14:textId="77777777" w:rsidR="00244133" w:rsidRDefault="00244133" w:rsidP="00A37D35">
      <w:pPr>
        <w:autoSpaceDE w:val="0"/>
        <w:autoSpaceDN w:val="0"/>
        <w:spacing w:line="420" w:lineRule="exact"/>
        <w:rPr>
          <w:rFonts w:asciiTheme="minorEastAsia"/>
          <w:sz w:val="24"/>
          <w:szCs w:val="24"/>
        </w:rPr>
      </w:pPr>
    </w:p>
    <w:p w14:paraId="1A712E9A" w14:textId="77777777" w:rsidR="009F1303" w:rsidRDefault="009F1303" w:rsidP="00A37D35">
      <w:pPr>
        <w:autoSpaceDE w:val="0"/>
        <w:autoSpaceDN w:val="0"/>
        <w:spacing w:line="420" w:lineRule="exact"/>
        <w:rPr>
          <w:rFonts w:asciiTheme="minorEastAsia"/>
          <w:sz w:val="24"/>
          <w:szCs w:val="24"/>
        </w:rPr>
      </w:pPr>
    </w:p>
    <w:p w14:paraId="70B2534C" w14:textId="77777777" w:rsidR="007F615D" w:rsidRDefault="007F615D" w:rsidP="00A37D35">
      <w:pPr>
        <w:autoSpaceDE w:val="0"/>
        <w:autoSpaceDN w:val="0"/>
        <w:spacing w:line="420" w:lineRule="exact"/>
        <w:rPr>
          <w:rFonts w:asciiTheme="minorEastAsia"/>
          <w:sz w:val="24"/>
          <w:szCs w:val="24"/>
        </w:rPr>
      </w:pPr>
    </w:p>
    <w:p w14:paraId="1A27F8E2" w14:textId="77777777" w:rsidR="005925EE" w:rsidRPr="00EB1AE7" w:rsidRDefault="005925EE" w:rsidP="00A37D35">
      <w:pPr>
        <w:autoSpaceDE w:val="0"/>
        <w:autoSpaceDN w:val="0"/>
        <w:spacing w:line="420" w:lineRule="exact"/>
        <w:rPr>
          <w:rFonts w:asciiTheme="minorEastAsia"/>
          <w:sz w:val="24"/>
          <w:szCs w:val="24"/>
        </w:rPr>
      </w:pPr>
    </w:p>
    <w:p w14:paraId="1CBD5DD9" w14:textId="77777777" w:rsidR="005B56A8" w:rsidRPr="00BF2BD5" w:rsidRDefault="00BF65EE" w:rsidP="00244133">
      <w:pPr>
        <w:ind w:right="960"/>
        <w:rPr>
          <w:rFonts w:asciiTheme="minorEastAsia" w:hAnsiTheme="minorEastAsia"/>
          <w:sz w:val="24"/>
          <w:szCs w:val="24"/>
        </w:rPr>
      </w:pPr>
      <w:r>
        <w:rPr>
          <w:rFonts w:ascii="ＭＳ 明朝" w:eastAsia="ＭＳ 明朝" w:hAnsi="ＭＳ 明朝" w:hint="eastAsia"/>
          <w:sz w:val="24"/>
          <w:szCs w:val="24"/>
        </w:rPr>
        <w:t>４</w:t>
      </w:r>
      <w:r w:rsidR="003F4F8E">
        <w:rPr>
          <w:rFonts w:ascii="ＭＳ 明朝" w:eastAsia="ＭＳ 明朝" w:hAnsi="ＭＳ 明朝" w:hint="eastAsia"/>
          <w:sz w:val="24"/>
          <w:szCs w:val="24"/>
        </w:rPr>
        <w:t xml:space="preserve">　</w:t>
      </w:r>
      <w:r w:rsidR="005B56A8">
        <w:rPr>
          <w:rFonts w:asciiTheme="minorEastAsia" w:hAnsiTheme="minorEastAsia" w:hint="eastAsia"/>
          <w:sz w:val="24"/>
          <w:szCs w:val="24"/>
        </w:rPr>
        <w:t>法務支援実施状況</w:t>
      </w:r>
    </w:p>
    <w:tbl>
      <w:tblPr>
        <w:tblStyle w:val="a4"/>
        <w:tblW w:w="0" w:type="auto"/>
        <w:tblInd w:w="530" w:type="dxa"/>
        <w:tblLook w:val="04A0" w:firstRow="1" w:lastRow="0" w:firstColumn="1" w:lastColumn="0" w:noHBand="0" w:noVBand="1"/>
      </w:tblPr>
      <w:tblGrid>
        <w:gridCol w:w="2555"/>
        <w:gridCol w:w="4253"/>
      </w:tblGrid>
      <w:tr w:rsidR="005B56A8" w:rsidRPr="00BF2BD5" w14:paraId="3C3AFF53" w14:textId="77777777" w:rsidTr="00E9261A">
        <w:trPr>
          <w:trHeight w:val="416"/>
        </w:trPr>
        <w:tc>
          <w:tcPr>
            <w:tcW w:w="2555" w:type="dxa"/>
            <w:vAlign w:val="center"/>
          </w:tcPr>
          <w:p w14:paraId="27C60522" w14:textId="77777777" w:rsidR="005B56A8" w:rsidRPr="00BF2BD5" w:rsidRDefault="005B56A8" w:rsidP="00E9261A">
            <w:pPr>
              <w:rPr>
                <w:rFonts w:asciiTheme="minorEastAsia" w:hAnsiTheme="minorEastAsia"/>
                <w:sz w:val="24"/>
              </w:rPr>
            </w:pPr>
          </w:p>
        </w:tc>
        <w:tc>
          <w:tcPr>
            <w:tcW w:w="4253" w:type="dxa"/>
            <w:vAlign w:val="center"/>
          </w:tcPr>
          <w:p w14:paraId="72BF9EC6" w14:textId="77777777" w:rsidR="005B56A8" w:rsidRPr="00BF2BD5" w:rsidRDefault="005B56A8" w:rsidP="00E9261A">
            <w:pPr>
              <w:jc w:val="center"/>
              <w:rPr>
                <w:rFonts w:asciiTheme="minorEastAsia" w:hAnsiTheme="minorEastAsia"/>
                <w:sz w:val="24"/>
              </w:rPr>
            </w:pPr>
            <w:r w:rsidRPr="00BF2BD5">
              <w:rPr>
                <w:rFonts w:asciiTheme="minorEastAsia" w:hAnsiTheme="minorEastAsia" w:hint="eastAsia"/>
                <w:sz w:val="24"/>
              </w:rPr>
              <w:t>実相談件数</w:t>
            </w:r>
          </w:p>
        </w:tc>
      </w:tr>
      <w:tr w:rsidR="005B56A8" w:rsidRPr="00BF2BD5" w14:paraId="1666A0D7" w14:textId="77777777" w:rsidTr="00385AA9">
        <w:trPr>
          <w:trHeight w:val="839"/>
        </w:trPr>
        <w:tc>
          <w:tcPr>
            <w:tcW w:w="2555" w:type="dxa"/>
            <w:vAlign w:val="center"/>
          </w:tcPr>
          <w:p w14:paraId="3E61F47C" w14:textId="77777777" w:rsidR="005B56A8" w:rsidRPr="00BF2BD5" w:rsidRDefault="005B56A8" w:rsidP="00743A26">
            <w:pPr>
              <w:jc w:val="center"/>
              <w:rPr>
                <w:rFonts w:asciiTheme="minorEastAsia" w:hAnsiTheme="minorEastAsia"/>
                <w:sz w:val="24"/>
              </w:rPr>
            </w:pPr>
            <w:r>
              <w:rPr>
                <w:rFonts w:asciiTheme="minorEastAsia" w:hAnsiTheme="minorEastAsia" w:hint="eastAsia"/>
                <w:sz w:val="24"/>
              </w:rPr>
              <w:t>平成</w:t>
            </w:r>
            <w:r w:rsidRPr="00BF2BD5">
              <w:rPr>
                <w:rFonts w:asciiTheme="minorEastAsia" w:hAnsiTheme="minorEastAsia" w:hint="eastAsia"/>
                <w:sz w:val="24"/>
              </w:rPr>
              <w:t>28年度</w:t>
            </w:r>
          </w:p>
          <w:p w14:paraId="4EED1103" w14:textId="77777777" w:rsidR="005B56A8" w:rsidRPr="00BF2BD5" w:rsidRDefault="005B56A8" w:rsidP="00743A26">
            <w:pPr>
              <w:jc w:val="center"/>
              <w:rPr>
                <w:rFonts w:asciiTheme="minorEastAsia" w:hAnsiTheme="minorEastAsia"/>
                <w:sz w:val="24"/>
              </w:rPr>
            </w:pPr>
            <w:r w:rsidRPr="00BF2BD5">
              <w:rPr>
                <w:rFonts w:asciiTheme="minorEastAsia" w:hAnsiTheme="minorEastAsia" w:hint="eastAsia"/>
                <w:sz w:val="24"/>
              </w:rPr>
              <w:t>（8月から実施）</w:t>
            </w:r>
          </w:p>
        </w:tc>
        <w:tc>
          <w:tcPr>
            <w:tcW w:w="4253" w:type="dxa"/>
            <w:vAlign w:val="center"/>
          </w:tcPr>
          <w:p w14:paraId="77B2835E" w14:textId="77777777" w:rsidR="005B56A8" w:rsidRPr="00BF2BD5" w:rsidRDefault="005B56A8" w:rsidP="00E9261A">
            <w:pPr>
              <w:jc w:val="center"/>
              <w:rPr>
                <w:rFonts w:asciiTheme="minorEastAsia" w:hAnsiTheme="minorEastAsia"/>
                <w:sz w:val="24"/>
              </w:rPr>
            </w:pPr>
            <w:r w:rsidRPr="00BF2BD5">
              <w:rPr>
                <w:rFonts w:asciiTheme="minorEastAsia" w:hAnsiTheme="minorEastAsia" w:hint="eastAsia"/>
                <w:sz w:val="24"/>
              </w:rPr>
              <w:t>26件</w:t>
            </w:r>
          </w:p>
        </w:tc>
      </w:tr>
      <w:tr w:rsidR="005B56A8" w:rsidRPr="00BF2BD5" w14:paraId="70029CA5" w14:textId="77777777" w:rsidTr="00385AA9">
        <w:trPr>
          <w:trHeight w:val="839"/>
        </w:trPr>
        <w:tc>
          <w:tcPr>
            <w:tcW w:w="2555" w:type="dxa"/>
            <w:vAlign w:val="center"/>
          </w:tcPr>
          <w:p w14:paraId="7A351CF6" w14:textId="77777777" w:rsidR="005B56A8" w:rsidRPr="00BF2BD5" w:rsidRDefault="005B56A8" w:rsidP="00743A26">
            <w:pPr>
              <w:jc w:val="center"/>
              <w:rPr>
                <w:rFonts w:asciiTheme="minorEastAsia" w:hAnsiTheme="minorEastAsia"/>
                <w:sz w:val="24"/>
              </w:rPr>
            </w:pPr>
            <w:r>
              <w:rPr>
                <w:rFonts w:asciiTheme="minorEastAsia" w:hAnsiTheme="minorEastAsia" w:hint="eastAsia"/>
                <w:sz w:val="24"/>
              </w:rPr>
              <w:t>平成</w:t>
            </w:r>
            <w:r w:rsidRPr="00BF2BD5">
              <w:rPr>
                <w:rFonts w:asciiTheme="minorEastAsia" w:hAnsiTheme="minorEastAsia" w:hint="eastAsia"/>
                <w:sz w:val="24"/>
              </w:rPr>
              <w:t>29年度</w:t>
            </w:r>
          </w:p>
        </w:tc>
        <w:tc>
          <w:tcPr>
            <w:tcW w:w="4253" w:type="dxa"/>
            <w:vAlign w:val="center"/>
          </w:tcPr>
          <w:p w14:paraId="62A506CC" w14:textId="77777777" w:rsidR="005B56A8" w:rsidRPr="00BF2BD5" w:rsidRDefault="005B56A8" w:rsidP="00E9261A">
            <w:pPr>
              <w:jc w:val="center"/>
              <w:rPr>
                <w:rFonts w:asciiTheme="minorEastAsia" w:hAnsiTheme="minorEastAsia"/>
                <w:sz w:val="24"/>
              </w:rPr>
            </w:pPr>
            <w:r w:rsidRPr="00BF2BD5">
              <w:rPr>
                <w:rFonts w:asciiTheme="minorEastAsia" w:hAnsiTheme="minorEastAsia" w:hint="eastAsia"/>
                <w:sz w:val="24"/>
              </w:rPr>
              <w:t>43件</w:t>
            </w:r>
          </w:p>
        </w:tc>
      </w:tr>
      <w:tr w:rsidR="005B56A8" w:rsidRPr="00BF2BD5" w14:paraId="4C8A1C63" w14:textId="77777777" w:rsidTr="00385AA9">
        <w:trPr>
          <w:trHeight w:val="839"/>
        </w:trPr>
        <w:tc>
          <w:tcPr>
            <w:tcW w:w="2555" w:type="dxa"/>
            <w:vAlign w:val="center"/>
          </w:tcPr>
          <w:p w14:paraId="2F404C4B" w14:textId="77777777" w:rsidR="005B56A8" w:rsidRPr="00325933" w:rsidRDefault="005B56A8" w:rsidP="00743A26">
            <w:pPr>
              <w:jc w:val="center"/>
              <w:rPr>
                <w:rFonts w:asciiTheme="minorEastAsia" w:hAnsiTheme="minorEastAsia"/>
                <w:sz w:val="28"/>
              </w:rPr>
            </w:pPr>
            <w:r>
              <w:rPr>
                <w:rFonts w:asciiTheme="minorEastAsia" w:hAnsiTheme="minorEastAsia" w:hint="eastAsia"/>
                <w:sz w:val="24"/>
              </w:rPr>
              <w:t>平成</w:t>
            </w:r>
            <w:r w:rsidRPr="00BF2BD5">
              <w:rPr>
                <w:rFonts w:asciiTheme="minorEastAsia" w:hAnsiTheme="minorEastAsia" w:hint="eastAsia"/>
                <w:sz w:val="24"/>
              </w:rPr>
              <w:t>30年度</w:t>
            </w:r>
          </w:p>
        </w:tc>
        <w:tc>
          <w:tcPr>
            <w:tcW w:w="4253" w:type="dxa"/>
            <w:vAlign w:val="center"/>
          </w:tcPr>
          <w:p w14:paraId="50BBB7E1" w14:textId="77777777" w:rsidR="005B56A8" w:rsidRPr="00BF2BD5" w:rsidRDefault="005B56A8" w:rsidP="00E9261A">
            <w:pPr>
              <w:jc w:val="center"/>
              <w:rPr>
                <w:rFonts w:asciiTheme="minorEastAsia" w:hAnsiTheme="minorEastAsia"/>
                <w:sz w:val="24"/>
              </w:rPr>
            </w:pPr>
            <w:r>
              <w:rPr>
                <w:rFonts w:asciiTheme="minorEastAsia" w:hAnsiTheme="minorEastAsia" w:hint="eastAsia"/>
                <w:sz w:val="24"/>
              </w:rPr>
              <w:t>38</w:t>
            </w:r>
            <w:r w:rsidRPr="00BF2BD5">
              <w:rPr>
                <w:rFonts w:asciiTheme="minorEastAsia" w:hAnsiTheme="minorEastAsia" w:hint="eastAsia"/>
                <w:sz w:val="24"/>
              </w:rPr>
              <w:t>件</w:t>
            </w:r>
          </w:p>
        </w:tc>
      </w:tr>
      <w:tr w:rsidR="005B699A" w:rsidRPr="00BF2BD5" w14:paraId="07126BDF" w14:textId="77777777" w:rsidTr="00385AA9">
        <w:trPr>
          <w:trHeight w:val="839"/>
        </w:trPr>
        <w:tc>
          <w:tcPr>
            <w:tcW w:w="2555" w:type="dxa"/>
            <w:vAlign w:val="center"/>
          </w:tcPr>
          <w:p w14:paraId="758EED70" w14:textId="3388F8EA" w:rsidR="005B699A" w:rsidRDefault="005B699A" w:rsidP="00743A26">
            <w:pPr>
              <w:jc w:val="center"/>
              <w:rPr>
                <w:rFonts w:asciiTheme="minorEastAsia" w:hAnsiTheme="minorEastAsia"/>
                <w:sz w:val="24"/>
              </w:rPr>
            </w:pPr>
            <w:r>
              <w:rPr>
                <w:rFonts w:asciiTheme="minorEastAsia" w:hAnsiTheme="minorEastAsia" w:hint="eastAsia"/>
                <w:sz w:val="24"/>
              </w:rPr>
              <w:t>令和元年度</w:t>
            </w:r>
          </w:p>
        </w:tc>
        <w:tc>
          <w:tcPr>
            <w:tcW w:w="4253" w:type="dxa"/>
            <w:vAlign w:val="center"/>
          </w:tcPr>
          <w:p w14:paraId="0737E9D6" w14:textId="5E4DFD89" w:rsidR="005B699A" w:rsidRDefault="00955EBF" w:rsidP="00E9261A">
            <w:pPr>
              <w:jc w:val="center"/>
              <w:rPr>
                <w:rFonts w:asciiTheme="minorEastAsia" w:hAnsiTheme="minorEastAsia"/>
                <w:sz w:val="24"/>
              </w:rPr>
            </w:pPr>
            <w:r>
              <w:rPr>
                <w:rFonts w:asciiTheme="minorEastAsia" w:hAnsiTheme="minorEastAsia" w:hint="eastAsia"/>
                <w:sz w:val="24"/>
              </w:rPr>
              <w:t>41</w:t>
            </w:r>
            <w:r w:rsidR="005B699A">
              <w:rPr>
                <w:rFonts w:asciiTheme="minorEastAsia" w:hAnsiTheme="minorEastAsia" w:hint="eastAsia"/>
                <w:sz w:val="24"/>
              </w:rPr>
              <w:t>件</w:t>
            </w:r>
          </w:p>
        </w:tc>
      </w:tr>
      <w:tr w:rsidR="005B56A8" w:rsidRPr="00BF2BD5" w14:paraId="34953547" w14:textId="77777777" w:rsidTr="00385AA9">
        <w:trPr>
          <w:trHeight w:val="839"/>
        </w:trPr>
        <w:tc>
          <w:tcPr>
            <w:tcW w:w="2555" w:type="dxa"/>
            <w:vAlign w:val="center"/>
          </w:tcPr>
          <w:p w14:paraId="696FE026" w14:textId="77777777" w:rsidR="005B56A8" w:rsidRPr="00BF2BD5" w:rsidRDefault="005B56A8" w:rsidP="00743A26">
            <w:pPr>
              <w:jc w:val="center"/>
              <w:rPr>
                <w:rFonts w:asciiTheme="minorEastAsia" w:hAnsiTheme="minorEastAsia"/>
                <w:sz w:val="24"/>
              </w:rPr>
            </w:pPr>
            <w:r>
              <w:rPr>
                <w:rFonts w:asciiTheme="minorEastAsia" w:hAnsiTheme="minorEastAsia" w:hint="eastAsia"/>
                <w:sz w:val="24"/>
              </w:rPr>
              <w:t>令和２年度</w:t>
            </w:r>
          </w:p>
        </w:tc>
        <w:tc>
          <w:tcPr>
            <w:tcW w:w="4253" w:type="dxa"/>
            <w:vAlign w:val="center"/>
          </w:tcPr>
          <w:p w14:paraId="03F6F803" w14:textId="77777777" w:rsidR="005B56A8" w:rsidRDefault="005B56A8" w:rsidP="00E9261A">
            <w:pPr>
              <w:jc w:val="center"/>
              <w:rPr>
                <w:rFonts w:asciiTheme="minorEastAsia" w:hAnsiTheme="minorEastAsia"/>
                <w:sz w:val="24"/>
              </w:rPr>
            </w:pPr>
            <w:r>
              <w:rPr>
                <w:rFonts w:asciiTheme="minorEastAsia" w:hAnsiTheme="minorEastAsia" w:hint="eastAsia"/>
                <w:sz w:val="24"/>
              </w:rPr>
              <w:t>40件</w:t>
            </w:r>
          </w:p>
        </w:tc>
      </w:tr>
      <w:tr w:rsidR="005B56A8" w:rsidRPr="00BF2BD5" w14:paraId="17106853" w14:textId="77777777" w:rsidTr="00385AA9">
        <w:trPr>
          <w:trHeight w:val="839"/>
        </w:trPr>
        <w:tc>
          <w:tcPr>
            <w:tcW w:w="2555" w:type="dxa"/>
            <w:vAlign w:val="center"/>
          </w:tcPr>
          <w:p w14:paraId="67476F47" w14:textId="198BD430" w:rsidR="005B56A8" w:rsidRPr="00BF2BD5" w:rsidRDefault="00100324" w:rsidP="00743A26">
            <w:pPr>
              <w:jc w:val="center"/>
              <w:rPr>
                <w:rFonts w:asciiTheme="minorEastAsia" w:hAnsiTheme="minorEastAsia"/>
                <w:sz w:val="24"/>
              </w:rPr>
            </w:pPr>
            <w:r>
              <w:rPr>
                <w:rFonts w:asciiTheme="minorEastAsia" w:hAnsiTheme="minorEastAsia" w:hint="eastAsia"/>
                <w:sz w:val="24"/>
              </w:rPr>
              <w:t>令和３年度</w:t>
            </w:r>
          </w:p>
        </w:tc>
        <w:tc>
          <w:tcPr>
            <w:tcW w:w="4253" w:type="dxa"/>
            <w:vAlign w:val="center"/>
          </w:tcPr>
          <w:p w14:paraId="3A84E34A" w14:textId="1E9F2FB6" w:rsidR="005B56A8" w:rsidRDefault="005B56A8" w:rsidP="00E9261A">
            <w:pPr>
              <w:jc w:val="center"/>
              <w:rPr>
                <w:rFonts w:asciiTheme="minorEastAsia" w:hAnsiTheme="minorEastAsia"/>
                <w:sz w:val="24"/>
              </w:rPr>
            </w:pPr>
            <w:r>
              <w:rPr>
                <w:rFonts w:asciiTheme="minorEastAsia" w:hAnsiTheme="minorEastAsia" w:hint="eastAsia"/>
                <w:sz w:val="24"/>
              </w:rPr>
              <w:t>3</w:t>
            </w:r>
            <w:r>
              <w:rPr>
                <w:rFonts w:asciiTheme="minorEastAsia" w:hAnsiTheme="minorEastAsia"/>
                <w:sz w:val="24"/>
              </w:rPr>
              <w:t>6</w:t>
            </w:r>
            <w:r>
              <w:rPr>
                <w:rFonts w:asciiTheme="minorEastAsia" w:hAnsiTheme="minorEastAsia" w:hint="eastAsia"/>
                <w:sz w:val="24"/>
              </w:rPr>
              <w:t>件</w:t>
            </w:r>
          </w:p>
        </w:tc>
      </w:tr>
      <w:tr w:rsidR="00743A26" w:rsidRPr="00BF2BD5" w14:paraId="5DAACFC3" w14:textId="77777777" w:rsidTr="00385AA9">
        <w:trPr>
          <w:trHeight w:val="839"/>
        </w:trPr>
        <w:tc>
          <w:tcPr>
            <w:tcW w:w="2555" w:type="dxa"/>
            <w:vAlign w:val="center"/>
          </w:tcPr>
          <w:p w14:paraId="58D0F06E" w14:textId="5CE05C3E" w:rsidR="00743A26" w:rsidRPr="009F1303" w:rsidRDefault="00743A26" w:rsidP="00743A26">
            <w:pPr>
              <w:jc w:val="center"/>
              <w:rPr>
                <w:rFonts w:asciiTheme="minorEastAsia" w:hAnsiTheme="minorEastAsia"/>
                <w:sz w:val="24"/>
              </w:rPr>
            </w:pPr>
            <w:r w:rsidRPr="009F1303">
              <w:rPr>
                <w:rFonts w:asciiTheme="minorEastAsia" w:hAnsiTheme="minorEastAsia" w:hint="eastAsia"/>
                <w:sz w:val="24"/>
              </w:rPr>
              <w:t>合計</w:t>
            </w:r>
          </w:p>
        </w:tc>
        <w:tc>
          <w:tcPr>
            <w:tcW w:w="4253" w:type="dxa"/>
            <w:vAlign w:val="center"/>
          </w:tcPr>
          <w:p w14:paraId="62A48C64" w14:textId="6D2FB394" w:rsidR="00743A26" w:rsidRPr="009F1303" w:rsidRDefault="00B50926" w:rsidP="00E9261A">
            <w:pPr>
              <w:jc w:val="center"/>
              <w:rPr>
                <w:rFonts w:asciiTheme="minorEastAsia" w:hAnsiTheme="minorEastAsia"/>
                <w:sz w:val="24"/>
              </w:rPr>
            </w:pPr>
            <w:r>
              <w:rPr>
                <w:rFonts w:asciiTheme="minorEastAsia" w:hAnsiTheme="minorEastAsia" w:hint="eastAsia"/>
                <w:sz w:val="24"/>
              </w:rPr>
              <w:t>224</w:t>
            </w:r>
            <w:r w:rsidR="00743A26" w:rsidRPr="009F1303">
              <w:rPr>
                <w:rFonts w:asciiTheme="minorEastAsia" w:hAnsiTheme="minorEastAsia" w:hint="eastAsia"/>
                <w:sz w:val="24"/>
              </w:rPr>
              <w:t>件</w:t>
            </w:r>
          </w:p>
        </w:tc>
      </w:tr>
    </w:tbl>
    <w:p w14:paraId="2B767C35" w14:textId="77777777" w:rsidR="002927D4" w:rsidRDefault="002927D4" w:rsidP="005B56A8">
      <w:pPr>
        <w:ind w:firstLineChars="200" w:firstLine="480"/>
        <w:rPr>
          <w:rFonts w:asciiTheme="minorEastAsia" w:hAnsiTheme="minorEastAsia"/>
          <w:sz w:val="24"/>
          <w:szCs w:val="24"/>
        </w:rPr>
      </w:pPr>
    </w:p>
    <w:p w14:paraId="66529D3C" w14:textId="77777777" w:rsidR="00314E3A" w:rsidRDefault="00314E3A" w:rsidP="005B56A8">
      <w:pPr>
        <w:ind w:firstLineChars="200" w:firstLine="480"/>
        <w:rPr>
          <w:rFonts w:asciiTheme="minorEastAsia" w:hAnsiTheme="minorEastAsia"/>
          <w:sz w:val="24"/>
          <w:szCs w:val="24"/>
        </w:rPr>
      </w:pPr>
    </w:p>
    <w:p w14:paraId="0A66F4A5" w14:textId="77777777" w:rsidR="00314E3A" w:rsidRPr="002927D4" w:rsidRDefault="00314E3A" w:rsidP="005B56A8">
      <w:pPr>
        <w:ind w:firstLineChars="200" w:firstLine="480"/>
        <w:rPr>
          <w:rFonts w:asciiTheme="minorEastAsia" w:hAnsiTheme="minorEastAsia" w:hint="eastAsia"/>
          <w:sz w:val="24"/>
          <w:szCs w:val="24"/>
        </w:rPr>
      </w:pPr>
    </w:p>
    <w:p w14:paraId="0083E142" w14:textId="294A616F" w:rsidR="005B56A8" w:rsidRDefault="00244133" w:rsidP="005B56A8">
      <w:pPr>
        <w:rPr>
          <w:rFonts w:asciiTheme="minorEastAsia" w:hAnsiTheme="minorEastAsia"/>
          <w:sz w:val="24"/>
          <w:szCs w:val="24"/>
        </w:rPr>
      </w:pPr>
      <w:r>
        <w:rPr>
          <w:rFonts w:asciiTheme="minorEastAsia" w:hAnsiTheme="minorEastAsia" w:hint="eastAsia"/>
          <w:sz w:val="24"/>
          <w:szCs w:val="24"/>
        </w:rPr>
        <w:t xml:space="preserve">５　</w:t>
      </w:r>
      <w:r w:rsidR="005B56A8" w:rsidRPr="006E5F98">
        <w:rPr>
          <w:rFonts w:asciiTheme="minorEastAsia" w:hAnsiTheme="minorEastAsia" w:hint="eastAsia"/>
          <w:sz w:val="24"/>
          <w:szCs w:val="24"/>
        </w:rPr>
        <w:t>相談案件分類</w:t>
      </w:r>
    </w:p>
    <w:p w14:paraId="5E654BE9" w14:textId="39AEBAF8" w:rsidR="005B56A8" w:rsidRPr="0046025C" w:rsidRDefault="00C97FE4" w:rsidP="0046025C">
      <w:pPr>
        <w:rPr>
          <w:rFonts w:asciiTheme="minorEastAsia" w:hAnsiTheme="minorEastAsia" w:hint="eastAsia"/>
          <w:sz w:val="24"/>
          <w:szCs w:val="24"/>
        </w:rPr>
      </w:pPr>
      <w:bookmarkStart w:id="0" w:name="_GoBack"/>
      <w:r>
        <w:rPr>
          <w:noProof/>
        </w:rPr>
        <w:drawing>
          <wp:inline distT="0" distB="0" distL="0" distR="0" wp14:anchorId="276D23EF" wp14:editId="2EC87923">
            <wp:extent cx="6115050" cy="3171825"/>
            <wp:effectExtent l="0" t="0" r="0" b="952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14:paraId="6EDC19B3" w14:textId="77777777" w:rsidR="00C72CDC" w:rsidRDefault="00C72CDC" w:rsidP="005925EE">
      <w:pPr>
        <w:rPr>
          <w:rFonts w:asciiTheme="minorEastAsia" w:hAnsiTheme="minorEastAsia" w:hint="eastAsia"/>
          <w:sz w:val="22"/>
        </w:rPr>
      </w:pPr>
    </w:p>
    <w:p w14:paraId="7F478B84" w14:textId="77777777" w:rsidR="0046025C" w:rsidRDefault="0046025C" w:rsidP="006C4CF9">
      <w:pPr>
        <w:rPr>
          <w:rFonts w:asciiTheme="minorEastAsia" w:hAnsiTheme="minorEastAsia"/>
          <w:sz w:val="24"/>
        </w:rPr>
      </w:pPr>
    </w:p>
    <w:p w14:paraId="2AC41C5C" w14:textId="77777777" w:rsidR="00314E3A" w:rsidRDefault="00314E3A" w:rsidP="006C4CF9">
      <w:pPr>
        <w:rPr>
          <w:rFonts w:asciiTheme="minorEastAsia" w:hAnsiTheme="minorEastAsia" w:hint="eastAsia"/>
          <w:sz w:val="24"/>
        </w:rPr>
      </w:pPr>
    </w:p>
    <w:p w14:paraId="4080B4A9" w14:textId="77777777" w:rsidR="00314E3A" w:rsidRDefault="00314E3A" w:rsidP="006C4CF9">
      <w:pPr>
        <w:rPr>
          <w:rFonts w:asciiTheme="minorEastAsia" w:hAnsiTheme="minorEastAsia"/>
          <w:sz w:val="24"/>
        </w:rPr>
      </w:pPr>
    </w:p>
    <w:p w14:paraId="58094DBD" w14:textId="4C8F1B80" w:rsidR="006C4CF9" w:rsidRPr="00526553" w:rsidRDefault="006C4CF9" w:rsidP="006C4CF9">
      <w:pPr>
        <w:rPr>
          <w:rFonts w:asciiTheme="minorEastAsia" w:hAnsiTheme="minorEastAsia"/>
          <w:sz w:val="24"/>
        </w:rPr>
      </w:pPr>
      <w:r w:rsidRPr="00526553">
        <w:rPr>
          <w:rFonts w:asciiTheme="minorEastAsia" w:hAnsiTheme="minorEastAsia" w:hint="eastAsia"/>
          <w:sz w:val="24"/>
        </w:rPr>
        <w:t>６　成果</w:t>
      </w:r>
    </w:p>
    <w:p w14:paraId="70C4BC21" w14:textId="0CD2DC18" w:rsidR="00385AA9" w:rsidRPr="00385AA9" w:rsidRDefault="006C4CF9" w:rsidP="00385AA9">
      <w:pPr>
        <w:rPr>
          <w:sz w:val="24"/>
        </w:rPr>
      </w:pPr>
      <w:r w:rsidRPr="00526553">
        <w:rPr>
          <w:rFonts w:asciiTheme="minorEastAsia" w:hAnsiTheme="minorEastAsia" w:hint="eastAsia"/>
          <w:sz w:val="24"/>
        </w:rPr>
        <w:t xml:space="preserve">　</w:t>
      </w:r>
      <w:r w:rsidR="00385AA9">
        <w:rPr>
          <w:rFonts w:asciiTheme="minorEastAsia" w:hAnsiTheme="minorEastAsia" w:hint="eastAsia"/>
          <w:sz w:val="24"/>
        </w:rPr>
        <w:t>センター</w:t>
      </w:r>
      <w:r w:rsidR="00526553" w:rsidRPr="00526553">
        <w:rPr>
          <w:rFonts w:asciiTheme="minorEastAsia" w:hAnsiTheme="minorEastAsia" w:hint="eastAsia"/>
          <w:sz w:val="24"/>
        </w:rPr>
        <w:t>職員</w:t>
      </w:r>
      <w:r w:rsidR="00385AA9">
        <w:rPr>
          <w:rFonts w:asciiTheme="minorEastAsia" w:hAnsiTheme="minorEastAsia" w:hint="eastAsia"/>
          <w:sz w:val="24"/>
        </w:rPr>
        <w:t>からは「他センターの相談事例に対する弁護士の所見を共有することで、大変勉強になっている」「普段弁護士に相談する機会がないため、法務支援を通じて客観的な意見を助言してもらえることで支援に対して根拠をもって対応できる</w:t>
      </w:r>
      <w:r w:rsidR="00C72CDC">
        <w:rPr>
          <w:rFonts w:asciiTheme="minorEastAsia" w:hAnsiTheme="minorEastAsia" w:hint="eastAsia"/>
          <w:sz w:val="24"/>
        </w:rPr>
        <w:t>」</w:t>
      </w:r>
      <w:r w:rsidR="00385AA9">
        <w:rPr>
          <w:rFonts w:asciiTheme="minorEastAsia" w:hAnsiTheme="minorEastAsia" w:hint="eastAsia"/>
          <w:sz w:val="24"/>
        </w:rPr>
        <w:t>等の声もあり、</w:t>
      </w:r>
      <w:r w:rsidR="00385AA9" w:rsidRPr="00385AA9">
        <w:rPr>
          <w:rFonts w:hint="eastAsia"/>
          <w:sz w:val="24"/>
        </w:rPr>
        <w:t>現場で働く職員の資質向上にも一定の効果があると言える。</w:t>
      </w:r>
    </w:p>
    <w:p w14:paraId="467236C6" w14:textId="77777777" w:rsidR="00385AA9" w:rsidRPr="00385AA9" w:rsidRDefault="00385AA9" w:rsidP="00385AA9">
      <w:pPr>
        <w:ind w:firstLineChars="100" w:firstLine="240"/>
        <w:rPr>
          <w:sz w:val="24"/>
        </w:rPr>
      </w:pPr>
      <w:r w:rsidRPr="00385AA9">
        <w:rPr>
          <w:rFonts w:hint="eastAsia"/>
          <w:sz w:val="24"/>
        </w:rPr>
        <w:t>相談内容が複雑かつ多様化する中で、現場で働く職員が判断に困った際に、相談できる場として法務支援は大きな役割を持っている。</w:t>
      </w:r>
    </w:p>
    <w:p w14:paraId="26AC1C47" w14:textId="77777777" w:rsidR="00385AA9" w:rsidRPr="00385AA9" w:rsidRDefault="00385AA9" w:rsidP="00385AA9">
      <w:pPr>
        <w:ind w:firstLineChars="100" w:firstLine="240"/>
        <w:rPr>
          <w:sz w:val="24"/>
        </w:rPr>
      </w:pPr>
      <w:r w:rsidRPr="00385AA9">
        <w:rPr>
          <w:rFonts w:hint="eastAsia"/>
          <w:sz w:val="24"/>
        </w:rPr>
        <w:t>今後も、センター職員が根拠をもって支援を行っていけるように、継続して法務支援事業を実施していきたい。</w:t>
      </w:r>
    </w:p>
    <w:p w14:paraId="291EDBB0" w14:textId="47DA6E60" w:rsidR="006C4CF9" w:rsidRPr="00385AA9" w:rsidRDefault="006C4CF9" w:rsidP="006C4CF9">
      <w:pPr>
        <w:rPr>
          <w:rFonts w:asciiTheme="minorEastAsia" w:hAnsiTheme="minorEastAsia"/>
          <w:sz w:val="24"/>
        </w:rPr>
      </w:pPr>
    </w:p>
    <w:sectPr w:rsidR="006C4CF9" w:rsidRPr="00385AA9" w:rsidSect="005925EE">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8350E" w14:textId="77777777" w:rsidR="00C262E7" w:rsidRDefault="00C262E7" w:rsidP="00552ECA">
      <w:r>
        <w:separator/>
      </w:r>
    </w:p>
  </w:endnote>
  <w:endnote w:type="continuationSeparator" w:id="0">
    <w:p w14:paraId="6CAA8AC7" w14:textId="77777777" w:rsidR="00C262E7" w:rsidRDefault="00C262E7" w:rsidP="0055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DB9F8" w14:textId="77777777" w:rsidR="00C262E7" w:rsidRDefault="00C262E7" w:rsidP="00552ECA">
      <w:r>
        <w:separator/>
      </w:r>
    </w:p>
  </w:footnote>
  <w:footnote w:type="continuationSeparator" w:id="0">
    <w:p w14:paraId="34E0155E" w14:textId="77777777" w:rsidR="00C262E7" w:rsidRDefault="00C262E7" w:rsidP="00552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57540"/>
    <w:multiLevelType w:val="hybridMultilevel"/>
    <w:tmpl w:val="D16A8642"/>
    <w:lvl w:ilvl="0" w:tplc="8ADC887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0C"/>
    <w:rsid w:val="00000034"/>
    <w:rsid w:val="00010202"/>
    <w:rsid w:val="0001459D"/>
    <w:rsid w:val="00030686"/>
    <w:rsid w:val="000658E4"/>
    <w:rsid w:val="00066DA1"/>
    <w:rsid w:val="000803F0"/>
    <w:rsid w:val="000D7159"/>
    <w:rsid w:val="00100324"/>
    <w:rsid w:val="00185479"/>
    <w:rsid w:val="001859B6"/>
    <w:rsid w:val="001B7D8E"/>
    <w:rsid w:val="001D2F5F"/>
    <w:rsid w:val="001F470B"/>
    <w:rsid w:val="00205940"/>
    <w:rsid w:val="0022762A"/>
    <w:rsid w:val="00235128"/>
    <w:rsid w:val="00244133"/>
    <w:rsid w:val="002652E9"/>
    <w:rsid w:val="002927D4"/>
    <w:rsid w:val="002A1667"/>
    <w:rsid w:val="002C50DB"/>
    <w:rsid w:val="002E12A8"/>
    <w:rsid w:val="002E18A1"/>
    <w:rsid w:val="00314E3A"/>
    <w:rsid w:val="003249C6"/>
    <w:rsid w:val="00385AA9"/>
    <w:rsid w:val="003A4751"/>
    <w:rsid w:val="003D367D"/>
    <w:rsid w:val="003D4D93"/>
    <w:rsid w:val="003F4F8E"/>
    <w:rsid w:val="0046025C"/>
    <w:rsid w:val="00481422"/>
    <w:rsid w:val="004F2D22"/>
    <w:rsid w:val="004F56FC"/>
    <w:rsid w:val="00526553"/>
    <w:rsid w:val="0052764E"/>
    <w:rsid w:val="00552ECA"/>
    <w:rsid w:val="005925EE"/>
    <w:rsid w:val="005B56A8"/>
    <w:rsid w:val="005B699A"/>
    <w:rsid w:val="00691F77"/>
    <w:rsid w:val="006C4CF9"/>
    <w:rsid w:val="00736242"/>
    <w:rsid w:val="00743A26"/>
    <w:rsid w:val="00775CFE"/>
    <w:rsid w:val="007F615D"/>
    <w:rsid w:val="00811A77"/>
    <w:rsid w:val="00831583"/>
    <w:rsid w:val="00873295"/>
    <w:rsid w:val="008776F0"/>
    <w:rsid w:val="008B72AA"/>
    <w:rsid w:val="008C3954"/>
    <w:rsid w:val="008D3B2B"/>
    <w:rsid w:val="00921015"/>
    <w:rsid w:val="009270CE"/>
    <w:rsid w:val="0093585C"/>
    <w:rsid w:val="00936D2B"/>
    <w:rsid w:val="00955EBF"/>
    <w:rsid w:val="0095755C"/>
    <w:rsid w:val="009D5A75"/>
    <w:rsid w:val="009F1303"/>
    <w:rsid w:val="00A10802"/>
    <w:rsid w:val="00A37D35"/>
    <w:rsid w:val="00A6209B"/>
    <w:rsid w:val="00A82EFD"/>
    <w:rsid w:val="00A93295"/>
    <w:rsid w:val="00AA25A7"/>
    <w:rsid w:val="00AB17EC"/>
    <w:rsid w:val="00AC431D"/>
    <w:rsid w:val="00AE123B"/>
    <w:rsid w:val="00B149A4"/>
    <w:rsid w:val="00B50926"/>
    <w:rsid w:val="00B528E2"/>
    <w:rsid w:val="00B974E1"/>
    <w:rsid w:val="00BF42C7"/>
    <w:rsid w:val="00BF65EE"/>
    <w:rsid w:val="00C078BD"/>
    <w:rsid w:val="00C262E7"/>
    <w:rsid w:val="00C374E8"/>
    <w:rsid w:val="00C72CDC"/>
    <w:rsid w:val="00C80C16"/>
    <w:rsid w:val="00C92860"/>
    <w:rsid w:val="00C97FE4"/>
    <w:rsid w:val="00CD6D26"/>
    <w:rsid w:val="00D20D2E"/>
    <w:rsid w:val="00D90B0C"/>
    <w:rsid w:val="00DB4F39"/>
    <w:rsid w:val="00DD5E76"/>
    <w:rsid w:val="00DE5102"/>
    <w:rsid w:val="00E24571"/>
    <w:rsid w:val="00E55B37"/>
    <w:rsid w:val="00EB1AE7"/>
    <w:rsid w:val="00F1315A"/>
    <w:rsid w:val="00F62293"/>
    <w:rsid w:val="00FB7A70"/>
    <w:rsid w:val="00FE0E76"/>
    <w:rsid w:val="00FE6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42B19DF"/>
  <w15:docId w15:val="{6409A74B-A239-48AF-B466-E405662D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860"/>
    <w:pPr>
      <w:ind w:leftChars="400" w:left="840"/>
    </w:pPr>
  </w:style>
  <w:style w:type="table" w:styleId="a4">
    <w:name w:val="Table Grid"/>
    <w:basedOn w:val="a1"/>
    <w:uiPriority w:val="59"/>
    <w:rsid w:val="00185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2ECA"/>
    <w:pPr>
      <w:tabs>
        <w:tab w:val="center" w:pos="4252"/>
        <w:tab w:val="right" w:pos="8504"/>
      </w:tabs>
      <w:snapToGrid w:val="0"/>
    </w:pPr>
  </w:style>
  <w:style w:type="character" w:customStyle="1" w:styleId="a6">
    <w:name w:val="ヘッダー (文字)"/>
    <w:basedOn w:val="a0"/>
    <w:link w:val="a5"/>
    <w:uiPriority w:val="99"/>
    <w:rsid w:val="00552ECA"/>
  </w:style>
  <w:style w:type="paragraph" w:styleId="a7">
    <w:name w:val="footer"/>
    <w:basedOn w:val="a"/>
    <w:link w:val="a8"/>
    <w:uiPriority w:val="99"/>
    <w:unhideWhenUsed/>
    <w:rsid w:val="00552ECA"/>
    <w:pPr>
      <w:tabs>
        <w:tab w:val="center" w:pos="4252"/>
        <w:tab w:val="right" w:pos="8504"/>
      </w:tabs>
      <w:snapToGrid w:val="0"/>
    </w:pPr>
  </w:style>
  <w:style w:type="character" w:customStyle="1" w:styleId="a8">
    <w:name w:val="フッター (文字)"/>
    <w:basedOn w:val="a0"/>
    <w:link w:val="a7"/>
    <w:uiPriority w:val="99"/>
    <w:rsid w:val="00552ECA"/>
  </w:style>
  <w:style w:type="character" w:styleId="a9">
    <w:name w:val="annotation reference"/>
    <w:basedOn w:val="a0"/>
    <w:uiPriority w:val="99"/>
    <w:semiHidden/>
    <w:unhideWhenUsed/>
    <w:rsid w:val="00481422"/>
    <w:rPr>
      <w:sz w:val="18"/>
      <w:szCs w:val="18"/>
    </w:rPr>
  </w:style>
  <w:style w:type="paragraph" w:styleId="aa">
    <w:name w:val="annotation text"/>
    <w:basedOn w:val="a"/>
    <w:link w:val="ab"/>
    <w:uiPriority w:val="99"/>
    <w:semiHidden/>
    <w:unhideWhenUsed/>
    <w:rsid w:val="00481422"/>
    <w:pPr>
      <w:jc w:val="left"/>
    </w:pPr>
  </w:style>
  <w:style w:type="character" w:customStyle="1" w:styleId="ab">
    <w:name w:val="コメント文字列 (文字)"/>
    <w:basedOn w:val="a0"/>
    <w:link w:val="aa"/>
    <w:uiPriority w:val="99"/>
    <w:semiHidden/>
    <w:rsid w:val="00481422"/>
  </w:style>
  <w:style w:type="paragraph" w:styleId="ac">
    <w:name w:val="annotation subject"/>
    <w:basedOn w:val="aa"/>
    <w:next w:val="aa"/>
    <w:link w:val="ad"/>
    <w:uiPriority w:val="99"/>
    <w:semiHidden/>
    <w:unhideWhenUsed/>
    <w:rsid w:val="00481422"/>
    <w:rPr>
      <w:b/>
      <w:bCs/>
    </w:rPr>
  </w:style>
  <w:style w:type="character" w:customStyle="1" w:styleId="ad">
    <w:name w:val="コメント内容 (文字)"/>
    <w:basedOn w:val="ab"/>
    <w:link w:val="ac"/>
    <w:uiPriority w:val="99"/>
    <w:semiHidden/>
    <w:rsid w:val="00481422"/>
    <w:rPr>
      <w:b/>
      <w:bCs/>
    </w:rPr>
  </w:style>
  <w:style w:type="paragraph" w:styleId="ae">
    <w:name w:val="Balloon Text"/>
    <w:basedOn w:val="a"/>
    <w:link w:val="af"/>
    <w:uiPriority w:val="99"/>
    <w:semiHidden/>
    <w:unhideWhenUsed/>
    <w:rsid w:val="0048142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814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BNFILFL01\section_shared\2805_&#39640;&#40802;&#31119;&#31049;&#35506;\&#25152;&#23646;&#20849;&#29992;&#12501;&#12457;&#12523;&#12480;\03_&#21253;&#25324;&#36939;&#21942;\10&#22320;&#22495;&#21253;&#25324;&#25903;&#25588;&#12475;&#12531;&#12479;&#12540;&#20107;&#26989;&#12395;&#38306;&#12377;&#12427;&#12371;&#12392;\06_&#22320;&#22495;&#21253;&#25324;&#25903;&#25588;&#12475;&#12531;&#12479;&#12540;&#36939;&#21942;&#21332;&#35696;&#20250;\01_&#36939;&#21942;&#21332;&#35696;&#20250;\R4&#24180;&#24230;\&#31532;3&#22238;(1,30)\&#36039;&#26009;\&#21442;&#32771;&#12288;&#27861;&#21209;&#25903;&#25588;&#38598;&#35336;\&#12304;&#12513;&#12514;&#12305;&#36942;&#24180;&#24230;&#30456;&#35527;&#23455;&#32318;&#12288;&#34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相談案件分類</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cat>
            <c:strRef>
              <c:f>Sheet1!$A$26:$Q$26</c:f>
              <c:strCache>
                <c:ptCount val="17"/>
                <c:pt idx="0">
                  <c:v>遺言・相続</c:v>
                </c:pt>
                <c:pt idx="1">
                  <c:v>死後事務</c:v>
                </c:pt>
                <c:pt idx="2">
                  <c:v>成年後見制度</c:v>
                </c:pt>
                <c:pt idx="3">
                  <c:v>財産管理</c:v>
                </c:pt>
                <c:pt idx="4">
                  <c:v>離婚</c:v>
                </c:pt>
                <c:pt idx="5">
                  <c:v>債務</c:v>
                </c:pt>
                <c:pt idx="6">
                  <c:v>賃貸借</c:v>
                </c:pt>
                <c:pt idx="7">
                  <c:v>虐待関連</c:v>
                </c:pt>
                <c:pt idx="8">
                  <c:v>親族関連</c:v>
                </c:pt>
                <c:pt idx="9">
                  <c:v>生活支援</c:v>
                </c:pt>
                <c:pt idx="10">
                  <c:v>認知症関連</c:v>
                </c:pt>
                <c:pt idx="11">
                  <c:v>家族間トラブル</c:v>
                </c:pt>
                <c:pt idx="12">
                  <c:v>ご近所トラブル</c:v>
                </c:pt>
                <c:pt idx="13">
                  <c:v>住宅関連</c:v>
                </c:pt>
                <c:pt idx="14">
                  <c:v>精神障害者の対応</c:v>
                </c:pt>
                <c:pt idx="15">
                  <c:v>包括の介入可能な範囲</c:v>
                </c:pt>
                <c:pt idx="16">
                  <c:v>その他（制度・法律知識等）</c:v>
                </c:pt>
              </c:strCache>
            </c:strRef>
          </c:cat>
          <c:val>
            <c:numRef>
              <c:f>Sheet1!$A$27:$Q$27</c:f>
              <c:numCache>
                <c:formatCode>General</c:formatCode>
                <c:ptCount val="17"/>
                <c:pt idx="0">
                  <c:v>7</c:v>
                </c:pt>
                <c:pt idx="1">
                  <c:v>12</c:v>
                </c:pt>
                <c:pt idx="2">
                  <c:v>21</c:v>
                </c:pt>
                <c:pt idx="3">
                  <c:v>31</c:v>
                </c:pt>
                <c:pt idx="4">
                  <c:v>5</c:v>
                </c:pt>
                <c:pt idx="5">
                  <c:v>6</c:v>
                </c:pt>
                <c:pt idx="6">
                  <c:v>11</c:v>
                </c:pt>
                <c:pt idx="7">
                  <c:v>8</c:v>
                </c:pt>
                <c:pt idx="8">
                  <c:v>4</c:v>
                </c:pt>
                <c:pt idx="9">
                  <c:v>17</c:v>
                </c:pt>
                <c:pt idx="10">
                  <c:v>15</c:v>
                </c:pt>
                <c:pt idx="11">
                  <c:v>12</c:v>
                </c:pt>
                <c:pt idx="12">
                  <c:v>15</c:v>
                </c:pt>
                <c:pt idx="13">
                  <c:v>8</c:v>
                </c:pt>
                <c:pt idx="14">
                  <c:v>12</c:v>
                </c:pt>
                <c:pt idx="15">
                  <c:v>19</c:v>
                </c:pt>
                <c:pt idx="16">
                  <c:v>21</c:v>
                </c:pt>
              </c:numCache>
            </c:numRef>
          </c:val>
        </c:ser>
        <c:dLbls>
          <c:showLegendKey val="0"/>
          <c:showVal val="0"/>
          <c:showCatName val="0"/>
          <c:showSerName val="0"/>
          <c:showPercent val="0"/>
          <c:showBubbleSize val="0"/>
        </c:dLbls>
        <c:gapWidth val="219"/>
        <c:overlap val="-27"/>
        <c:axId val="759184872"/>
        <c:axId val="759181344"/>
      </c:barChart>
      <c:catAx>
        <c:axId val="759184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59181344"/>
        <c:crosses val="autoZero"/>
        <c:auto val="1"/>
        <c:lblAlgn val="ctr"/>
        <c:lblOffset val="100"/>
        <c:noMultiLvlLbl val="0"/>
      </c:catAx>
      <c:valAx>
        <c:axId val="75918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59184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AA23-F54B-41C5-B827-9E4543F2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友紀乃</dc:creator>
  <cp:lastModifiedBy>原島 健太</cp:lastModifiedBy>
  <cp:revision>20</cp:revision>
  <cp:lastPrinted>2016-11-10T09:53:00Z</cp:lastPrinted>
  <dcterms:created xsi:type="dcterms:W3CDTF">2023-01-10T07:29:00Z</dcterms:created>
  <dcterms:modified xsi:type="dcterms:W3CDTF">2023-01-26T01:04:00Z</dcterms:modified>
</cp:coreProperties>
</file>